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dtytu"/>
        <w:spacing w:lineRule="auto" w:line="276" w:before="0" w:after="0"/>
        <w:ind w:left="0" w:hanging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>
      <w:pPr>
        <w:pStyle w:val="Podtytu"/>
        <w:spacing w:lineRule="auto" w:line="276" w:before="0" w:after="0"/>
        <w:ind w:left="0" w:hanging="0"/>
        <w:contextualSpacing/>
        <w:jc w:val="left"/>
        <w:rPr>
          <w:szCs w:val="22"/>
        </w:rPr>
      </w:pPr>
      <w:r>
        <w:rPr>
          <w:b w:val="false"/>
          <w:szCs w:val="22"/>
        </w:rPr>
        <w:t xml:space="preserve">Przedmiot: </w:t>
      </w:r>
      <w:r>
        <w:rPr>
          <w:szCs w:val="22"/>
        </w:rPr>
        <w:t>Religia</w:t>
      </w:r>
    </w:p>
    <w:p>
      <w:pPr>
        <w:pStyle w:val="Podtytu"/>
        <w:spacing w:lineRule="auto" w:line="276" w:before="0" w:after="0"/>
        <w:ind w:left="0" w:hanging="0"/>
        <w:contextualSpacing/>
        <w:jc w:val="left"/>
        <w:rPr>
          <w:szCs w:val="22"/>
        </w:rPr>
      </w:pPr>
      <w:r>
        <w:rPr>
          <w:b w:val="false"/>
          <w:szCs w:val="22"/>
        </w:rPr>
        <w:t xml:space="preserve">Klasa VII szkoły podstawowej </w:t>
      </w:r>
      <w:r>
        <w:rPr/>
        <w:t>„Bóg wskazuje nam drogę</w:t>
      </w:r>
      <w:r>
        <w:rPr>
          <w:color w:val="000000"/>
        </w:rPr>
        <w:t>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</w:rPr>
        <w:t xml:space="preserve">Program </w:t>
      </w:r>
      <w:r>
        <w:rPr>
          <w:rFonts w:cs="Times New Roman" w:ascii="Times New Roman" w:hAnsi="Times New Roman"/>
        </w:rPr>
        <w:t xml:space="preserve">–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AZ-2-01/18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Podręcznik –</w:t>
      </w:r>
      <w:r>
        <w:rPr>
          <w:rFonts w:cs="Times New Roman" w:ascii="Times New Roman" w:hAnsi="Times New Roman"/>
          <w:color w:val="000000"/>
          <w:sz w:val="24"/>
          <w:szCs w:val="24"/>
        </w:rPr>
        <w:t>nr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>AZ-23-01/18-PO-2/22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zatwierdzenie z dnia dnia 2 maja 2022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r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Podtytu"/>
        <w:spacing w:lineRule="auto" w:line="276" w:before="0" w:after="0"/>
        <w:ind w:left="0" w:hanging="0"/>
        <w:contextualSpacing/>
        <w:jc w:val="left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lineRule="auto" w:line="276" w:before="0" w:after="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Treści nauczania wynikające z podstawy programowej oraz wymagania dla uczniów dostosowane do każdej jednostki lekcyjnej zawartej w podręczniku podano w </w:t>
      </w:r>
      <w:r>
        <w:rPr>
          <w:szCs w:val="22"/>
        </w:rPr>
        <w:t>rocznych planach wynikowych</w:t>
      </w:r>
      <w:r>
        <w:rPr>
          <w:b w:val="false"/>
          <w:szCs w:val="22"/>
        </w:rPr>
        <w:t xml:space="preserve"> opracowanych dla wszystkich poziomów nauczania.</w:t>
      </w:r>
    </w:p>
    <w:p>
      <w:pPr>
        <w:pStyle w:val="Podtytu"/>
        <w:spacing w:lineRule="auto" w:line="276" w:before="0" w:after="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szCs w:val="22"/>
        </w:rPr>
        <w:t>Zasady oceniania</w:t>
      </w:r>
      <w:r>
        <w:rPr>
          <w:b w:val="false"/>
          <w:szCs w:val="22"/>
        </w:rPr>
        <w:t xml:space="preserve"> (zgodne w wytycznymi Komisji Wychowania Katolickiego Konferencji Episkopatu Polski z 2008 r.):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Ocenianiu nie podlegają praktyki religijne.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Oceny z religii są jawne dla ucznia i jego rodziców (prawnych opiekunów).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 </w:t>
      </w:r>
      <w:r>
        <w:rPr>
          <w:b w:val="false"/>
          <w:szCs w:val="22"/>
        </w:rPr>
        <w:t>Nauczyciele religii są zobowiązani do podania wymagań edukacyjnych niezbędnych do uzyskania poszczególnych ocen śródrocznych i rocznych z religii oraz sposobu sprawdzania osiągnięć edukacyjnych uczniów.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Nauczyciele religii informują o warunkach i trybie uzyskania z religii oceny rocznej wyższej niż przewidywana.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Nauczyciele religii są zobowiązani do dostosowania wymagań edukacyjnych do indywidualnych potrzeb i możliwości psychofizycznych oraz edukacyjnych uczniów posiadających opinie wydane przez poradnie psychologiczno-pedagogiczne.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Oceny z religii ustala się w stopniach w zakresie skali od 1 do 6.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 ma prawo zgłosić nieprzygotowanie do lekcji w ilości zgodnej z zasadami przyjętymi w szkole (przy dwóch godzinach zajęć w tygodniu, są to najczęściej dwa nieprzygotowania w półroczu).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Nauczyciel może oceniać pamięciowe opanowanie modlitw, pod warunkiem, że postarał się o wytłumaczenie ich znaczenia w trakcie zajęć.</w:t>
      </w:r>
    </w:p>
    <w:p>
      <w:pPr>
        <w:pStyle w:val="Podtytu"/>
        <w:spacing w:before="0" w:after="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szCs w:val="22"/>
        </w:rPr>
        <w:t>Obszary oceniania</w:t>
      </w:r>
      <w:r>
        <w:rPr>
          <w:b w:val="false"/>
          <w:szCs w:val="22"/>
        </w:rPr>
        <w:t>: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wyraźnie określić zakres materiału.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Szczególną uwagę należy zwrócić na prace dodatkowe wykonywane przez uczniów. Może to być przygotowanie do udziału w konkursach, w proponowanych zajęciach dodatkowych, wystąpieniach w szkole lub poza nią (o charakterze religijnym), udziału w działaniach mających na celu niesienie pomocy innym, wynikającym z realizacji przykazania miłości Boga i bliźniego.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ind w:left="0" w:hanging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>
      <w:pPr>
        <w:pStyle w:val="Podtytu"/>
        <w:spacing w:before="0" w:after="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szCs w:val="22"/>
        </w:rPr>
        <w:t>Celujący</w:t>
      </w:r>
      <w:r>
        <w:rPr>
          <w:b w:val="false"/>
          <w:szCs w:val="22"/>
        </w:rPr>
        <w:t xml:space="preserve">: </w:t>
      </w:r>
    </w:p>
    <w:p>
      <w:pPr>
        <w:pStyle w:val="Podtytu"/>
        <w:spacing w:before="0" w:after="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Uczeń: 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spełnia wymagania na ocenę bardzo dobrą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posiada wiedzę wykraczającą poza program oraz potrafi ją twórczo wprowadzać w życie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aktywnie uczestniczy w zajęciach i systematycznie prowadzi ćwiczenia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wykonuje dodatkowe zadania dla chętnych 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bierze udział w konkursach przedmiotowych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uczestniczy w zajęciach dodatkowych o tematyce religijnej w szkole lub parafii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contextualSpacing/>
        <w:jc w:val="both"/>
        <w:rPr>
          <w:szCs w:val="22"/>
        </w:rPr>
      </w:pPr>
      <w:r>
        <w:rPr>
          <w:szCs w:val="22"/>
        </w:rPr>
        <w:t>Bardzo dobry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opanował wiedzę i umiejętności określane programem nauczania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ma prawidłowo uzupełnione ćwiczenia w podręczniku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chętnie i systematycznie uczestniczy w zajęciach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jest aktywny na zajęciach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okazuje szacunek podczas modlitwy i słuchania Słowa Bożego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contextualSpacing/>
        <w:jc w:val="both"/>
        <w:rPr>
          <w:szCs w:val="22"/>
        </w:rPr>
      </w:pPr>
      <w:r>
        <w:rPr>
          <w:szCs w:val="22"/>
        </w:rPr>
        <w:t>Dobry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opanował wiedzę i umiejętności określone programem nauczania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ma dobrą umiejętność zastosowania zdobytej wiedzy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osiąga postępy podczas zajęć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jest chętny do pracy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okazuje szacunek podczas modlitwy i słuchania Słowa Bożego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contextualSpacing/>
        <w:jc w:val="both"/>
        <w:rPr>
          <w:szCs w:val="22"/>
        </w:rPr>
      </w:pPr>
      <w:r>
        <w:rPr>
          <w:szCs w:val="22"/>
        </w:rPr>
        <w:t>Dostateczny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opanował wiedzę i umiejętności umożliwiające dalsze zdobywanie wiedzy,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 jego wiadomościach są wyraźne luki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wykazuje chęć do pracy na zajęciach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ma braki w wykonywaniu ćwiczeń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okazuje szacunek podczas modlitwy i słuchania Słowa Bożego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contextualSpacing/>
        <w:jc w:val="both"/>
        <w:rPr>
          <w:szCs w:val="22"/>
        </w:rPr>
      </w:pPr>
      <w:r>
        <w:rPr>
          <w:szCs w:val="22"/>
        </w:rPr>
        <w:t>Dopuszczający: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zdobyte wiadomości nie są wystarczające do uzyskania podstawowej wiedzy religijnej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niechętnie uczestniczy w zajęciach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wymaga pomocy przy wykonywaniu prostych zadań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contextualSpacing/>
        <w:jc w:val="both"/>
        <w:rPr>
          <w:szCs w:val="22"/>
        </w:rPr>
      </w:pPr>
      <w:r>
        <w:rPr>
          <w:szCs w:val="22"/>
        </w:rPr>
        <w:t>Niedostateczny: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nie opanował podstawowych widomości i umiejętności określonych programem nauczania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notorycznie brak mu chęci do pracy i uczestniczenia w zajęciach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szCs w:val="22"/>
        </w:rPr>
        <w:t>Sposoby informowania uczniów i rodziców o ocenach</w:t>
      </w:r>
      <w:r>
        <w:rPr>
          <w:b w:val="false"/>
          <w:szCs w:val="22"/>
        </w:rPr>
        <w:t>:</w:t>
      </w:r>
    </w:p>
    <w:p>
      <w:pPr>
        <w:pStyle w:val="Podtytu"/>
        <w:numPr>
          <w:ilvl w:val="0"/>
          <w:numId w:val="2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Na pierwszej lekcji przedstawiamy zasady przedmiotowego oceniania i tłumaczymy wszelkie wątpliwości</w:t>
      </w:r>
    </w:p>
    <w:p>
      <w:pPr>
        <w:pStyle w:val="Podtytu"/>
        <w:numPr>
          <w:ilvl w:val="0"/>
          <w:numId w:val="2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Na pierwszych zebraniach w roku szkolnym informujemy o nim rodziców </w:t>
      </w:r>
    </w:p>
    <w:p>
      <w:pPr>
        <w:pStyle w:val="Podtytu"/>
        <w:numPr>
          <w:ilvl w:val="0"/>
          <w:numId w:val="2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Przedmiotowy system oceniania przekazujemy do wiadomości wychowawcy, dyrekcji i rodziców (powinien być on dostępny na obowiązującej w szkole platformie cyfrowej)</w:t>
      </w:r>
    </w:p>
    <w:p>
      <w:pPr>
        <w:pStyle w:val="Podtytu"/>
        <w:numPr>
          <w:ilvl w:val="0"/>
          <w:numId w:val="2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Uczniowie muszą być poinformowani o możliwości uzupełniania zaległości wynikających z nieobecności w szkole lub brakach pojawiających się na bieżąco</w:t>
      </w:r>
    </w:p>
    <w:p>
      <w:pPr>
        <w:pStyle w:val="Podtytu"/>
        <w:numPr>
          <w:ilvl w:val="0"/>
          <w:numId w:val="2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Wszystkie wystawione oceny są umieszczane na obowiązującej w szkole platformie cyfrowej możliwie jak najszybciej  </w:t>
      </w:r>
    </w:p>
    <w:p>
      <w:pPr>
        <w:pStyle w:val="Podtytu"/>
        <w:numPr>
          <w:ilvl w:val="0"/>
          <w:numId w:val="2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>
      <w:pPr>
        <w:pStyle w:val="ListParagraph"/>
        <w:ind w:left="540" w:hanging="0"/>
        <w:rPr>
          <w:b/>
          <w:b/>
        </w:rPr>
      </w:pPr>
      <w:r>
        <w:rPr>
          <w:b/>
        </w:rPr>
      </w:r>
    </w:p>
    <w:p>
      <w:pPr>
        <w:pStyle w:val="ListParagraph"/>
        <w:ind w:left="5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Szczegółowe kryteria oceniania</w:t>
      </w:r>
    </w:p>
    <w:tbl>
      <w:tblPr>
        <w:tblStyle w:val="Tabela-Siatka"/>
        <w:tblpPr w:bottomFromText="0" w:horzAnchor="text" w:leftFromText="141" w:rightFromText="141" w:tblpX="-318" w:tblpY="1" w:topFromText="0" w:vertAnchor="text"/>
        <w:tblW w:w="146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1731"/>
        <w:gridCol w:w="3084"/>
        <w:gridCol w:w="2552"/>
        <w:gridCol w:w="2977"/>
        <w:gridCol w:w="2302"/>
        <w:gridCol w:w="709"/>
      </w:tblGrid>
      <w:tr>
        <w:trPr>
          <w:trHeight w:val="586" w:hRule="atLeast"/>
        </w:trPr>
        <w:tc>
          <w:tcPr>
            <w:tcW w:w="13921" w:type="dxa"/>
            <w:gridSpan w:val="6"/>
            <w:tcBorders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eastAsia="pl-PL"/>
              </w:rPr>
              <w:t>I semestr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586" w:hRule="atLeast"/>
        </w:trPr>
        <w:tc>
          <w:tcPr>
            <w:tcW w:w="1275" w:type="dxa"/>
            <w:tcBorders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731" w:type="dxa"/>
            <w:tcBorders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pl-PL"/>
              </w:rPr>
              <w:t>celujący</w:t>
            </w:r>
          </w:p>
        </w:tc>
        <w:tc>
          <w:tcPr>
            <w:tcW w:w="3084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315" w:leader="none"/>
              </w:tabs>
              <w:spacing w:lineRule="auto" w:line="240" w:before="0" w:after="200"/>
              <w:ind w:left="5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pl-PL"/>
              </w:rPr>
              <w:t>dostateczny</w:t>
            </w:r>
          </w:p>
        </w:tc>
        <w:tc>
          <w:tcPr>
            <w:tcW w:w="2302" w:type="dxa"/>
            <w:tcBorders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pl-PL"/>
              </w:rPr>
              <w:t>dopuszczający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3857" w:hRule="atLeast"/>
        </w:trPr>
        <w:tc>
          <w:tcPr>
            <w:tcW w:w="1275" w:type="dxa"/>
            <w:tcBorders/>
          </w:tcPr>
          <w:p>
            <w:pPr>
              <w:pStyle w:val="Normal"/>
              <w:tabs>
                <w:tab w:val="clear" w:pos="708"/>
                <w:tab w:val="left" w:pos="183" w:leader="none"/>
              </w:tabs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I. Jedyny Bóg – nasz Ojciec</w:t>
            </w:r>
          </w:p>
        </w:tc>
        <w:tc>
          <w:tcPr>
            <w:tcW w:w="1731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źródła autentycznego i trwałego szczęścia człowieka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szczegółowo wyjaśnia, czego bronią pierwsze trzy Boże przykazania i jaki jest ich sens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pierwszeństwo Boga w życiu człowieka</w:t>
            </w:r>
          </w:p>
        </w:tc>
        <w:tc>
          <w:tcPr>
            <w:tcW w:w="3084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wartości nadające sens ludzkiemu życiu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 konieczność budowania relacji z Bogiem i ludźmi.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sposoby na to, jak radzić sobie z rozproszeniami podczas modlitwy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uświadomienie uczniom, że Bóg jest Bogiem jedynym.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przymioty Boga;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 pojęcia: ateizm, deizm, niewiara i agnostycyzm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na czym polega szacunek dla imienia Bożego;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na czym polega chrześcijańskie świętowanie niedzieli.</w:t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przedstawia i omawia różne potrzeby ludzkie, w tym potrzebę sensu życia;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na czym polega relacja z Bogiem;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argumentuje, dlaczego modlitwa może czasem sprawiać trudności;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przed czym chroni nas pierwsze przykazanie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zadania wynikające z drugiego przykazania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postawy moralne związane z przeżywaniem niedzieli i spędzania wolnego czasu.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formułuje pytania związane z sensem istnienia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swoje relacje z drugim człowiekiem;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podaje różne sposoby na to, jak można się modlić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zadania wynikające z pierwszego przykazania Bożego oraz negatywne skutki wykroczenia przeciw niemu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przykłady wykroczeń przeciwko drugiemu przykazaniu;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wie, czemu sprzeciwia się trzecie przykazanie.</w:t>
            </w:r>
          </w:p>
          <w:p>
            <w:pPr>
              <w:pStyle w:val="ListParagraph"/>
              <w:tabs>
                <w:tab w:val="clear" w:pos="708"/>
                <w:tab w:val="left" w:pos="315" w:leader="none"/>
              </w:tabs>
              <w:spacing w:before="0" w:after="200"/>
              <w:ind w:left="36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02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pacing w:val="-2"/>
                <w:sz w:val="18"/>
                <w:szCs w:val="18"/>
                <w:lang w:eastAsia="pl-PL"/>
              </w:rPr>
              <w:t>wymienia ludzie potrzeby,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pacing w:val="-2"/>
                <w:sz w:val="18"/>
                <w:szCs w:val="18"/>
                <w:lang w:eastAsia="pl-PL"/>
              </w:rPr>
              <w:t xml:space="preserve">wyjaśnia potrzebę troski o relacje z Bogiem i ludźmi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dlaczego modlitwa to rozmowa z Bogiem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wie, że są Trzy Osoby Boskie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kiedy ma miejsce nadużywanie imienia Bożego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sposoby spędzania wolnego czasu.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9844" w:hRule="atLeast"/>
        </w:trPr>
        <w:tc>
          <w:tcPr>
            <w:tcW w:w="1275" w:type="dxa"/>
            <w:tcBorders/>
          </w:tcPr>
          <w:p>
            <w:pPr>
              <w:pStyle w:val="ListParagraph"/>
              <w:tabs>
                <w:tab w:val="clear" w:pos="708"/>
                <w:tab w:val="left" w:pos="183" w:leader="none"/>
              </w:tabs>
              <w:spacing w:before="0" w:after="200"/>
              <w:ind w:left="62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II. Jedyny Bóg – Jezus Chrystus</w:t>
            </w:r>
          </w:p>
        </w:tc>
        <w:tc>
          <w:tcPr>
            <w:tcW w:w="1731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zbawczy sens Wcielenia: od narodzenia Jezusa, poprzez Jego działalność i nauczanie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zestawia wydarzenia i teksty biblijne z podstawowymi prawdami wiary Kościoła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przedstawia biblijne przykłady osób powoływanych przez Boga oraz ich zadania</w:t>
            </w:r>
          </w:p>
        </w:tc>
        <w:tc>
          <w:tcPr>
            <w:tcW w:w="3084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charakteryzuje specyfikę i przesłanie czterech ksiąg Ewangelii;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znaczenie prawdy, że Jezus stał się człowiekiem dla naszego zbawienia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tłumaczy, że cuda, które czynił Jezus, były wyrazem Jego miłości do ludzi i miały uwiarygodnić Jego posłannictwo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 sens odczytywania i przyjmowania wydarzeń życiowych w świetle objawienia Bożego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i interpretuje fragment wyrzucenia kupców ze świątyni,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tłumaczy, w jaki sposób Jezus, który wstąpił do nieba, opiekuje się każdym człowiekiem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ind w:lef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uświadomienie uczniom, czym są rady ewangeliczne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ind w:lef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opisuje, dlaczego wierzący powinni układać swoje życie według wskazań słowa Bożego.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na podstawie wydarzeń biblijnych, jakie było powołanie apostołów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definiuje, na czym polegała niezwykłość Jezusa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opisuje, w jaki sposób powołanie zmieniło życie apostołów.</w:t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pojęcie „Ewangelia” w odniesieniu do czterech ksiąg Nowego Testamentu;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przedstawia podstawowe fakty z życia, działalności i nauczania Jezusa w porządku chronologicznym;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cuda jako zjawiska nadprzyrodzone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tłumaczy, dlaczego Jezus ostro upomniał Piotra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omawia, w jaki sposób może okazywać szacunek ludziom, miejscom oraz czasom poświęconym Bogu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przedstawia przebieg męki Jezusa;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definiuje pojęcie „rady ewangeliczne”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misję Dwunastu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definiuje pojęcie świętości;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w jaki sposób można zostać świętym.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korzyści płynące z czytania Ewangelii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 zbawczy sens wcielenia: od narodzenia Jezusa, poprzez Jego działalność i nauczanie, aż po mękę, śmierć i zmartwychwstanie.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 cud uzdrowienia człowieka sparaliżowanego, trędowatego oraz chodzenia po jeziorze;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definiuje, co znaczy naśladować Jezusa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dlaczego  należy się szacunek ludziom oraz miejscom i czasom poświęconym Bogu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zwraca się w potrzebie do Judy Tadeusza lub innych świętych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 pojęcie „życie konsekrowane”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symbolikę dwunastu apostołów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 konieczność podejmowania osobistego wysiłku  odpowiedzialności za wspólnotę Kościoła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że dążenie do świętości jest zadaniem każdego chrześcijanina.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34" w:leader="none"/>
                <w:tab w:val="left" w:pos="400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że choć Ewangelię spisało czterech różnych ludzi, wszyscy mieli ten sam cel: przekazanie Dobrej Nowiny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34" w:leader="none"/>
                <w:tab w:val="left" w:pos="400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dlaczego warto praktykować pokorne zachowanie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 sens czynienia cudów przez Jezusa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tłumaczy, że Jezus dokonał dzieła odkupieni całkowicie dobrowolnie i świadomie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 pojęcie miejsca i czasu świętego,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w jaki sposób Jezus, który wstąpił do nieba, opiekuje się nami;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34" w:leader="none"/>
                <w:tab w:val="left" w:pos="400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jak zbliżać się do Boga w codziennym życiu. 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34" w:leader="none"/>
                <w:tab w:val="left" w:pos="400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imiona apostołów; wskazuje, w jaki sposób on również został powołany do głoszenia Ewangelii. 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34" w:leader="none"/>
                <w:tab w:val="left" w:pos="400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podaje, kto jest dla niego autorytetem, i opisuje te postaci.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8098" w:hRule="atLeast"/>
        </w:trPr>
        <w:tc>
          <w:tcPr>
            <w:tcW w:w="1275" w:type="dxa"/>
            <w:tcBorders/>
          </w:tcPr>
          <w:p>
            <w:pPr>
              <w:pStyle w:val="ListParagraph"/>
              <w:tabs>
                <w:tab w:val="clear" w:pos="708"/>
                <w:tab w:val="left" w:pos="183" w:leader="none"/>
              </w:tabs>
              <w:spacing w:before="0" w:after="200"/>
              <w:ind w:left="62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III. Jedyny Bóg – Duch Święty</w:t>
            </w:r>
          </w:p>
        </w:tc>
        <w:tc>
          <w:tcPr>
            <w:tcW w:w="1731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 kontekście prawdy Bożej o Trójcy Świętej opisuje naturę, sposób obecności i działania Ducha Świętego w Kościele w oparciu o teksty biblijne i nauczanie Kościoła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 owoce działania Ducha Świętego w życiu chrześcijanina i podaje przykłady.</w:t>
            </w:r>
          </w:p>
        </w:tc>
        <w:tc>
          <w:tcPr>
            <w:tcW w:w="3084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objaśnia istotę dogmatu o Bogu Trójjedynym;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odkrywa rangę pojęcia „osoba” w stosunku do Boga i człowieka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ukazanie uczniom obecności i działania Ducha Świętego w Kościele oraz w życiu chrześcijanina.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opisuje, że może zwrócić się do Ducha Świętego z prośbą o wsparcie i nawiązać z nim relację.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proces kuszenia i stopniowego odchodzenia od wiary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analogie, poprzez które potrafi opisać znaczenie Ducha Świętego;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kiedy jest posłuszny natchnieniom Ducha Świętego.</w:t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 ciągłość przekazu wiary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rozpoznaje obecność Ducha Świętego na przestrzeni dziejów;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jaka jest różnica między „darami” i „owocami” Ducha Świętego;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opisuje, na czym polega każdy z grzechów przeciwko  Duchowi Świętemu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dostrzega i docenia działanie Trzeciej Osoby Trójcy Świętej.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że osobisty rozwój duchowy jest bardzo ważny i pozwala pogłębić własną wiarę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w jaki sposób Duch Święty jest obecny w Kościele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opisuje, jakie owoce rodzi przyjęcie darów Ducha Świętego;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sześć grzechów przeciwko Duchowi Świętemu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własnymi słowami, na czym polega jego osobista relacja z Duchem Świętym.</w:t>
            </w:r>
          </w:p>
          <w:p>
            <w:pPr>
              <w:pStyle w:val="Normal"/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302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Trzy Osoby Boskie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objaśnia, przy pomocy jakich symboli Biblia opisuje Ducha Świętego;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siedem darów Ducha Świętego; wskazuje konsekwencje popełnienia  grzechów przeciwko Duchowi Świętemu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wskazuje sytuacje, kiedy doświadcza działania Ducha Świętego.</w:t>
            </w:r>
          </w:p>
          <w:p>
            <w:pPr>
              <w:pStyle w:val="Normal"/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15109" w:hRule="atLeast"/>
        </w:trPr>
        <w:tc>
          <w:tcPr>
            <w:tcW w:w="1275" w:type="dxa"/>
            <w:tcBorders/>
          </w:tcPr>
          <w:p>
            <w:pPr>
              <w:pStyle w:val="Normal"/>
              <w:tabs>
                <w:tab w:val="clear" w:pos="708"/>
                <w:tab w:val="left" w:pos="176" w:leader="none"/>
              </w:tabs>
              <w:spacing w:before="0" w:after="200"/>
              <w:ind w:left="142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Katechezy okolicznościowe</w:t>
            </w:r>
          </w:p>
        </w:tc>
        <w:tc>
          <w:tcPr>
            <w:tcW w:w="1731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charakteryzuje poszczególne okresy roku liturgicznego w kontekście wydarzeń zbawczych i nauczania Kościoła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ukazuje związek wydarzeń biblijnych ze świętami chrześcijańskimi, prawdami wiary i moralności chrześcijańskiej oraz z życiem chrześcijanina</w:t>
            </w:r>
          </w:p>
        </w:tc>
        <w:tc>
          <w:tcPr>
            <w:tcW w:w="3084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 związek wydarzeń biblijnych z rokiem liturgicznym..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definiuje, czym jest zbawienie;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związek modlitwy różańcowej z życiem chrześcijanina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charakteryzuje, czym wyróżnia się czas adwentu i wymienia jego szczególne znaki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religijny wymiar świąt Bożego Narodzenia.</w:t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cykl roku liturgicznego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przedstawia modlitwę różańcową jako modlitwę cudów;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pojęcie Marana tha;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cud Bożego Narodzenia;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miłość Chrystusa, która jest bezinteresowna.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charakteryzuje poszczególne okresy roku liturgicznego;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wskazuje na krzyż jako źródło miłości Boga do człowieka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 ważność modlitwy różańcowej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spacing w:lineRule="auto" w:line="240"/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sposoby przeżywania Adwentu</w:t>
            </w:r>
            <w:r>
              <w:rPr>
                <w:rFonts w:eastAsia="Calibri" w:cs="MinionPro-Regular" w:ascii="MinionPro-Regular" w:hAnsi="MinionPro-Regular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spacing w:lineRule="auto" w:line="240"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wskazuje okoliczności narodzenia Jezusa.</w:t>
            </w:r>
          </w:p>
        </w:tc>
        <w:tc>
          <w:tcPr>
            <w:tcW w:w="2302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sens liturgii jako uobecniania zbawczych wydarzeń z życia Jezusa Chrystusa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zna znaczenie święta Podwyższenia Krzyża Świętego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tłumaczy, że modlitwę różańcową zapoczątkował Święty Dominik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wie, że adwent to nie tylko czas oczekiwania na Boże Narodzenie, ale i na powtórne przyjcie Chrystusa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symbol pustego talerza na wigilii.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396" w:hRule="atLeast"/>
        </w:trPr>
        <w:tc>
          <w:tcPr>
            <w:tcW w:w="14630" w:type="dxa"/>
            <w:gridSpan w:val="7"/>
            <w:tcBorders/>
          </w:tcPr>
          <w:p>
            <w:pPr>
              <w:pStyle w:val="Normal"/>
              <w:tabs>
                <w:tab w:val="clear" w:pos="708"/>
                <w:tab w:val="left" w:pos="3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Cs w:val="18"/>
                <w:lang w:eastAsia="pl-PL"/>
              </w:rPr>
              <w:t>II semestr</w:t>
            </w:r>
          </w:p>
        </w:tc>
      </w:tr>
      <w:tr>
        <w:trPr>
          <w:trHeight w:val="6216" w:hRule="atLeast"/>
        </w:trPr>
        <w:tc>
          <w:tcPr>
            <w:tcW w:w="1275" w:type="dxa"/>
            <w:tcBorders>
              <w:right w:val="nil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4. Boże Przykazania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podaje przykłady, jak pracować nad własnym rozwojem emocjonalnym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motywację przy dokonywaniu wyborów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uzasadnia, że życie chrześcijanina jest odpowiedzią na wezwanie Boże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rozpoznaje i wskazuje mechanizmy manipulacji w relacjach osobowych i w mediach.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tłumaczy, o chodzi w kształtowaniu sumienia;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omawia, jaka hierarchia wartości wynika z wiary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różnice między dobrem a złem w konkretnych sytuacjach moralnych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że błogosławieństwa to droga do prawdziwego szczęścia.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uzasadnia konieczność okazywania szacunku rodzicom i osobom starszym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uzasadnia konieczność szacunku dla życia ludzkiego;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opisuje, na czym polega szacunek wobec piękna ciała – własnego oraz drugiego człowieka;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argumenty przemawiające za troską o środowisko naturalne.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dostrzega i opisuje związek między kłamstwem i oszustwem a poniżaniem człowieka </w:t>
            </w:r>
            <w:r>
              <w:rPr>
                <w:rFonts w:eastAsia="" w:eastAsiaTheme="minorEastAsia"/>
                <w:lang w:eastAsia="pl-PL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analizuje potrzebę umiejętności budowania życia w wolności od rzeczy materialnych i dzięki panowaniu ducha nad popędem oraz pragnieniami.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rozróżnia pozytywne pragnienia od niepohamowanego pożądania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definiuje, czym są zachowania ryzykowne.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czym jest sumienie;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przykłady współczesnych „bożków”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podstawowe pojęcia etyczne: powinność moralna, prawo naturalne, czyny ludzkie;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opisuje, na czym polega „obietnica szczęścia” złożona przez Boga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rozumie wartość autorytetu rodziców i osób starszych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wskazuje, że gniew jest przeciwny piątemu przykazaniu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na czym polega piękno człowieka, jego ciała i duszy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definiuje pojęcie dobra wspólnego, sprawiedliwości i odpowiedzialności;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uzasadnia wartość prawdomówności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znaczenie wierności małżeńskiej i trwałości małżeństwa;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definiuje, czym są uzależnienia. 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ff podaje zalety formacji sumienia.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przedstawia Boga jako największą wartość.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 motywację przy dokonywaniu wyborów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na czym polega pragnienie szczęścia i jak można je zaspokoić;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obowiązki dzieci wobec rodziców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działania człowieka niezgodne z piątym przykazaniem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 znaczenie terminu „cudzołożyć”, „cudzołóstwo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wskazuje na znaczenie dóbr materialnych w życiu chrześcijanina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wykroczenia przeciwko ósmemu przykazaniu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potrafi ocenić rzeczywistą wartość dóbr materialnych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rodzaje uzależnień i wskazuje na największe zagrożenia młodzieży.</w:t>
            </w:r>
          </w:p>
        </w:tc>
        <w:tc>
          <w:tcPr>
            <w:tcW w:w="3011" w:type="dxa"/>
            <w:gridSpan w:val="2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zna sposoby formacji sumienia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reguły budowania hierarchii wartości opartej na wierze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 konieczność kierowania się w życiu kryteriami powinności etycznej i prawa naturalnego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wartości, na których warto oprzeć swoje życie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wskazuje, kogo obowiązuje przykazanie czwarte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wie, że życie jest najcenniejszym darem od Boga;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kogo w szczególny sposób dotyczy przykazanie szóste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grzechy przeciwko siódmemu przykazaniu;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definiuje pojęcia związane z ósmym przykazaniem;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 znaczenie słowa „pożądanie”;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pozytywne aktywności życiowe.</w:t>
            </w:r>
          </w:p>
        </w:tc>
      </w:tr>
      <w:tr>
        <w:trPr>
          <w:trHeight w:val="6610" w:hRule="atLeast"/>
        </w:trPr>
        <w:tc>
          <w:tcPr>
            <w:tcW w:w="1275" w:type="dxa"/>
            <w:tcBorders>
              <w:right w:val="nil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5. Stare i Nowe Przymierze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przedstawia podstawowe wydarzenia historii zbawienia w Starym Testamencie (patriarchowie, wyjście z Egiptu, wędrówka do Ziemi Obiecanej, Przymierze na Synaju) jako przejawy Bożej wierności obietnicom danym Abrahamowi i wyraz miłości do człowieka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 znaczenie Paschy Jezusa Chrystusa. 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argumentuje, że bez znajomości Starego Testamentu Nowy jest niezrozumiały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szczególną rolę Izraela w historii Zbawienia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uzasadnia, że Kościół jest ludem Nowego Przymierza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 jedność Starego i Nowego Testamentu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w jakim sensie chrześcijaństwo ma swoje korzenie w judaizmie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argumenty za obchodzeniem Dnia Judaizmu.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co to jest przymierze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informacje o państwie Izrael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cechy charakterystyczne oraz wspólne dla judaizmu i dla chrześcijaństwa;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 sens Prawa Starego Przymierza;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wskazuje na różnice i podobieństwa między judaizmem a chrześcijaństwem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uzasadnia, że antysemityzm jest grzechem, któremu należy się przeciwstawiać.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znaczenie przymierza zawartego w Starym Testamencie;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dlaczego Izrael stał się narodem wybranym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różnicę między Starym a Nowym Przymierzem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jak działa Prawo Boże;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rozpoznaje symbole i przedmioty związane z judaizmem;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bolesne doświadczenia wojenne wyznawców judaizmu.</w:t>
            </w:r>
          </w:p>
        </w:tc>
        <w:tc>
          <w:tcPr>
            <w:tcW w:w="3011" w:type="dxa"/>
            <w:gridSpan w:val="2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 znaczenie przymierza zawartego w Nowym Testamencie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skąd wzięła się nazwa „Izrael”;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 konieczność szacunku wobec wyznawców judaizmu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podaje obowiązki i prawa ucznia Jezusa.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dlaczego niektóre obyczaje żydowskie przeniknęły do chrześcijaństwa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 na czym polega szacunek wobec wyznawców judaizmu.</w:t>
            </w:r>
          </w:p>
        </w:tc>
      </w:tr>
      <w:tr>
        <w:trPr>
          <w:trHeight w:val="6610" w:hRule="atLeast"/>
        </w:trPr>
        <w:tc>
          <w:tcPr>
            <w:tcW w:w="1275" w:type="dxa"/>
            <w:tcBorders>
              <w:right w:val="nil"/>
            </w:tcBorders>
          </w:tcPr>
          <w:p>
            <w:pPr>
              <w:pStyle w:val="Normal"/>
              <w:spacing w:before="0" w:after="20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18"/>
                <w:lang w:eastAsia="pl-PL"/>
              </w:rPr>
              <w:t>6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.Religie świata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podstawowe założenia doktrynalne judaizmu, islamu, buddyzmu i hinduizmu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ukazuje specyfikę i wartość chrześcijaństwa wobec innych religii, zwłaszcza: judaizmu, buddyzmu, hinduizmu i islamu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tłumaczy, na czym polega wyjątkowość chrześcijaństwa.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charakteryzuje wielkie religie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omawia, jakie jest stanowisko Kościoła katolickiego wobec innych religii.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before="0" w:after="20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tłumaczy, czym różni się „dialog międzyreligijny” od ekumenizmu.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co znaczy powszechność zbawienia;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wie, co to jest religia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wskazuje zasadnicze podobieństwa i różnice między chrześcijaństwem a innymi religiami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omawia, które poglądy są wspólne dla poszczególnych religii.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formy przynależności do Kościoła;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 potrzebę poznania innych religii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pojęcie „dialog międzyreligijny”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before="0" w:after="20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zasadność „dialogu religijnego”.</w:t>
            </w:r>
          </w:p>
        </w:tc>
        <w:tc>
          <w:tcPr>
            <w:tcW w:w="3011" w:type="dxa"/>
            <w:gridSpan w:val="2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tłumaczy, że wyznawcom wszystkich religii należy się szacunek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największe religie świata;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powszechność zbawienia.</w:t>
            </w:r>
          </w:p>
        </w:tc>
      </w:tr>
      <w:tr>
        <w:trPr>
          <w:trHeight w:val="6610" w:hRule="atLeast"/>
        </w:trPr>
        <w:tc>
          <w:tcPr>
            <w:tcW w:w="1275" w:type="dxa"/>
            <w:tcBorders>
              <w:right w:val="nil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lang w:eastAsia="pl-PL"/>
              </w:rPr>
              <w:t>7. Duch Święty w dziejach Kościoła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określa wyzwania społeczne w Europie XIX w. i udzieloną na nie odpowiedź Kościoła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omawia w kontekście rewolucji przemysłowej, czym zajmuje się katolicka nauka społeczna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opisuje, na czym polega udział chrześcijan w kapłańskiej, prorockiej i królewskiej misji Chrystusa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przykłady świadków wiary w konkretnych sytuacjach życiowych.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zna ustalenia Soboru Watykańskiego I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czym jest katolicka nauka społeczna i podaje, kto był jej prekursorem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argumentuje, że w czasie zaborów (i nie tylko) Kościół miał wpływ na wiele dziedzin życia;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i podaje sposoby pracy nad sobą, by osiągnąć świętość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charakteryzuje postać i posługę Świętego Zygmunta Szczęsnego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jaką rolę odegrał brat Albert w historii ojczyzny i Kościoła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czym jest Boże miłosierdzie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na czym polega działalność misyjna Kościoła;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charakteryzuje, na czym polega apostolstwo świeckich.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kto i dlaczego zwołał sobór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rozumie dlaczego wynalazki oraz postęp technologiczny nie mogą być ważniejsze od człowieka;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tłumaczy, że Kościół jest nierozerwalnie związany z historią Polski;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przedstawia życie Świętego Jana Bosko i argumentuje aktualność jego dzieła;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definiuje, czym wyróżniała się działalność Świętego Zygmunta Szczęsnego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przedstawia krótko życiorys brata Alberta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postać Świętej Faustyny Kowalskiej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jak rozumie termin „misja Kościoła”;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 obowiązki chrześcijan wynikające z przynależności do Kościoła.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wyjasnia, że Kościół odpowiada na znaki czasu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że człowiek jest powołany do rozwoju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opowiada o błogosławionym Honoracie Koźmińskim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ukazuje wpływ pedagogiki Świętego Jana Bosko na dzisiejsze szkoły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opisuje, na czym polegała  wierność  Świętego Zygmunta Szczęsnego wobec spraw Polski i Kościoła.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na czym polega służba bliźniemu na wzór brata Alberta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omawia wybrane formy kultu miłosierdzia Bożego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opowiada o błogosławionym Janie Beyzymie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tłumaczy, jakie stany można wyróżnić w Kościele.</w:t>
            </w:r>
          </w:p>
        </w:tc>
        <w:tc>
          <w:tcPr>
            <w:tcW w:w="3011" w:type="dxa"/>
            <w:gridSpan w:val="2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 potrzebę poznawania historii Kościoła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wie, że człowiek, przyczyniając się do rozwoju świata, realizuje Boże wezwanie „czyńcie sobie ziemię poddaną”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przykłady polskich świętych patriotów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w jaki sposób Bóg potwierdza posłannictwo świętych;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jak można uczyć się patriotyzmu od Świętego Zygmunta Szczęsnego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przykłady świętych opiekujących się potrzebującymi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że miłosierdzie Boże jest dla każdego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obszary działalności misyjnej Kościoła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pojęcie „apostolstwo.”</w:t>
            </w:r>
          </w:p>
        </w:tc>
      </w:tr>
      <w:tr>
        <w:trPr>
          <w:trHeight w:val="9062" w:hRule="atLeast"/>
        </w:trPr>
        <w:tc>
          <w:tcPr>
            <w:tcW w:w="1275" w:type="dxa"/>
            <w:tcBorders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73" w:leader="none"/>
              </w:tabs>
              <w:spacing w:before="0" w:after="200"/>
              <w:ind w:left="3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Katechezy okolicznościowe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1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przedstawia wartość dążenia do jedności Kościoła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1" w:leader="none"/>
              </w:tabs>
              <w:spacing w:before="0" w:after="200"/>
              <w:ind w:left="5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charakteryzuje poszczególne okresy roku liturgicznego w kontekście wydarzeń zbawczych i nauczania Kościoła oraz życia chrześcijanina.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największe Kościoły chrześcijańskie  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charakteryzuje czas Wielkiego Postu 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omawia, czym jest Triduum Paschalne, i tłumaczy, co oznacza sam termin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spacing w:before="0" w:after="200"/>
              <w:ind w:left="5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rolę Maryi w życiu Kościoła.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 pojęcia „ekumenizm 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wskazuje sens czasu nawrócenia 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opisuje, jakie wydarzenia wspominamy w poszczególne dni; 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dlaczego Kościół obchodzi Triduum i jakie święta poprzedza 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spacing w:before="0" w:after="200"/>
              <w:ind w:left="5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charakteryzuje istotę kultu Maryi.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88" w:leader="none"/>
              </w:tabs>
              <w:ind w:lef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omawia, na czym polega idea Tygodnia Powszechnej Modlitwy o Jedność Chrześcijan 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zna praktyki stosowane w Kościele w okresie Wielkiego Postu;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wskazuje, że uczestnictwo w Triduum Paschalnym jest niezbędne, by lepiej przeżywać sprawy wiary 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spacing w:before="0" w:after="200"/>
              <w:ind w:left="5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kilka tytułów Matki Bożej.</w:t>
            </w:r>
          </w:p>
        </w:tc>
        <w:tc>
          <w:tcPr>
            <w:tcW w:w="3011" w:type="dxa"/>
            <w:gridSpan w:val="2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umiejscawia w czasie okres Wielkiego Postu 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że łączenie się z Chrystusem w tajemnicy męki, śmierci i zmartwychwstania prowadzi do zbawienia 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288" w:leader="none"/>
              </w:tabs>
              <w:spacing w:before="0" w:after="200"/>
              <w:ind w:left="5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wskazuje niektóre święta Maryjne.</w:t>
            </w:r>
          </w:p>
        </w:tc>
      </w:tr>
    </w:tbl>
    <w:p>
      <w:pPr>
        <w:pStyle w:val="Podtytu"/>
        <w:spacing w:before="0" w:after="0"/>
        <w:ind w:left="0" w:hanging="0"/>
        <w:contextualSpacing/>
        <w:jc w:val="both"/>
        <w:rPr>
          <w:b w:val="false"/>
          <w:b w:val="false"/>
          <w:szCs w:val="22"/>
        </w:rPr>
      </w:pPr>
      <w:r>
        <w:rPr/>
      </w:r>
    </w:p>
    <w:sectPr>
      <w:headerReference w:type="default" r:id="rId2"/>
      <w:type w:val="nextPage"/>
      <w:pgSz w:orient="landscape" w:w="16838" w:h="11906"/>
      <w:pgMar w:left="1417" w:right="2237" w:header="708" w:top="1702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ato">
    <w:charset w:val="ee"/>
    <w:family w:val="roman"/>
    <w:pitch w:val="variable"/>
  </w:font>
  <w:font w:name="MinionPro-Regular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"/>
      <w:lvlJc w:val="left"/>
      <w:pPr>
        <w:ind w:left="1919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3b0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7536f3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qFormat/>
    <w:rsid w:val="006f3b0f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f3b0f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7536f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c63c0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c63c0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63c0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autoRedefine/>
    <w:uiPriority w:val="1"/>
    <w:qFormat/>
    <w:rsid w:val="00f707cd"/>
    <w:pPr>
      <w:widowControl/>
      <w:bidi w:val="0"/>
      <w:spacing w:lineRule="auto" w:line="240" w:before="0" w:after="0"/>
      <w:jc w:val="both"/>
    </w:pPr>
    <w:rPr>
      <w:rFonts w:ascii="Times New Roman" w:hAnsi="Times New Roman" w:eastAsia="" w:eastAsiaTheme="minorEastAsia" w:cs=""/>
      <w:color w:val="auto"/>
      <w:kern w:val="0"/>
      <w:sz w:val="24"/>
      <w:szCs w:val="21"/>
      <w:lang w:eastAsia="pl-PL" w:val="pl-PL" w:bidi="ar-SA"/>
    </w:rPr>
  </w:style>
  <w:style w:type="paragraph" w:styleId="Podtytu">
    <w:name w:val="Subtitle"/>
    <w:basedOn w:val="Normal"/>
    <w:link w:val="PodtytuZnak"/>
    <w:qFormat/>
    <w:rsid w:val="006f3b0f"/>
    <w:pPr>
      <w:spacing w:lineRule="auto" w:line="240" w:before="0" w:after="0"/>
      <w:ind w:left="180" w:hanging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536f3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c63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c63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63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b967a2"/>
    <w:pPr>
      <w:widowControl/>
      <w:bidi w:val="0"/>
      <w:spacing w:lineRule="auto" w:line="240" w:before="0" w:after="0"/>
      <w:jc w:val="left"/>
    </w:pPr>
    <w:rPr>
      <w:rFonts w:ascii="Lato" w:hAnsi="Lato" w:cs="Lato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Application>LibreOffice/6.4.1.2$Windows_X86_64 LibreOffice_project/4d224e95b98b138af42a64d84056446d09082932</Application>
  <Pages>5</Pages>
  <Words>3160</Words>
  <Characters>19527</Characters>
  <CharactersWithSpaces>22171</CharactersWithSpaces>
  <Paragraphs>350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2022-04-25T15:15:00Z</dcterms:created>
  <dc:creator>Irena Wolska</dc:creator>
  <dc:description/>
  <dc:language>pl-PL</dc:language>
  <cp:lastModifiedBy>Monika Ławrynowicz</cp:lastModifiedBy>
  <dcterms:modified xsi:type="dcterms:W3CDTF">2022-05-24T11:06:00Z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